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ascii="宋体" w:hAnsi="宋体" w:eastAsia="宋体" w:cs="仿宋_GB2312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kern w:val="0"/>
          <w:sz w:val="28"/>
          <w:szCs w:val="28"/>
        </w:rPr>
        <w:t>附件1：教职工自查步骤</w:t>
      </w:r>
      <w:bookmarkStart w:id="1" w:name="_GoBack"/>
      <w:bookmarkEnd w:id="1"/>
    </w:p>
    <w:p>
      <w:pPr>
        <w:autoSpaceDE w:val="0"/>
        <w:autoSpaceDN w:val="0"/>
        <w:adjustRightInd w:val="0"/>
        <w:spacing w:line="54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本次设备家具盘查通过数字石大资产管理系统</w:t>
      </w:r>
      <w:r>
        <w:rPr>
          <w:rFonts w:ascii="宋体" w:hAnsi="宋体" w:eastAsia="宋体" w:cs="仿宋_GB2312"/>
          <w:kern w:val="0"/>
          <w:sz w:val="28"/>
          <w:szCs w:val="28"/>
        </w:rPr>
        <w:t>(以下简称“系统”) 完成。设备家具的领用人(用户老师)负责盘点名下设备家具的存放地点、当前状态等信息，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盘查结束后个人填写附件</w:t>
      </w:r>
      <w:r>
        <w:rPr>
          <w:rFonts w:ascii="宋体" w:hAnsi="宋体" w:eastAsia="宋体" w:cs="仿宋_GB2312"/>
          <w:kern w:val="0"/>
          <w:sz w:val="28"/>
          <w:szCs w:val="28"/>
        </w:rPr>
        <w:t>2。领用人对设备家具的使用管理状况须如实反映,对盘亏、盘盈、校外存放等情况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如实填写</w:t>
      </w:r>
      <w:r>
        <w:rPr>
          <w:rFonts w:ascii="宋体" w:hAnsi="宋体" w:eastAsia="宋体" w:cs="仿宋_GB2312"/>
          <w:kern w:val="0"/>
          <w:sz w:val="28"/>
          <w:szCs w:val="28"/>
        </w:rPr>
        <w:t>，对需要交接的设备家具及时办理相关手续。单位资产管理员做好盘查材料的汇总、初审和报送，确保材料的规范性。</w:t>
      </w:r>
    </w:p>
    <w:p>
      <w:pPr>
        <w:spacing w:before="148" w:line="540" w:lineRule="exact"/>
        <w:ind w:left="18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领用人自查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步骤：</w:t>
      </w:r>
    </w:p>
    <w:p>
      <w:pPr>
        <w:spacing w:before="180" w:line="540" w:lineRule="exact"/>
        <w:ind w:left="27" w:firstLine="648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第一步， 登录数字石大(http://i.upc.edu.cn)，点击左侧“办公应用”——“资产管理系统”，即可登录系统。若用户首次使用，先点击上方“应用中心”，搜索资产管理系统，安装应用。</w:t>
      </w:r>
    </w:p>
    <w:p>
      <w:pPr>
        <w:spacing w:before="38" w:line="5558" w:lineRule="exact"/>
        <w:textAlignment w:val="center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drawing>
          <wp:inline distT="0" distB="0" distL="0" distR="0">
            <wp:extent cx="5996940" cy="3529330"/>
            <wp:effectExtent l="0" t="0" r="7620" b="635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352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第二步，点击界面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左</w:t>
      </w:r>
      <w:r>
        <w:rPr>
          <w:rFonts w:ascii="宋体" w:hAnsi="宋体" w:eastAsia="宋体" w:cs="仿宋_GB2312"/>
          <w:kern w:val="0"/>
          <w:sz w:val="28"/>
          <w:szCs w:val="28"/>
        </w:rPr>
        <w:t>上方“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名下资产</w:t>
      </w:r>
      <w:r>
        <w:rPr>
          <w:rFonts w:ascii="宋体" w:hAnsi="宋体" w:eastAsia="宋体" w:cs="仿宋_GB2312"/>
          <w:kern w:val="0"/>
          <w:sz w:val="28"/>
          <w:szCs w:val="28"/>
        </w:rPr>
        <w:t>”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进入查询</w:t>
      </w:r>
      <w:r>
        <w:rPr>
          <w:rFonts w:ascii="宋体" w:hAnsi="宋体" w:eastAsia="宋体" w:cs="仿宋_GB2312"/>
          <w:kern w:val="0"/>
          <w:sz w:val="28"/>
          <w:szCs w:val="28"/>
        </w:rPr>
        <w:t xml:space="preserve">页面， 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对设备家具进行盘查。</w:t>
      </w:r>
      <w:r>
        <w:rPr>
          <w:rFonts w:hint="eastAsia" w:ascii="宋体" w:hAnsi="宋体" w:eastAsia="宋体" w:cs="仿宋_GB2312"/>
          <w:b/>
          <w:bCs/>
          <w:kern w:val="0"/>
          <w:sz w:val="28"/>
          <w:szCs w:val="28"/>
        </w:rPr>
        <w:t>在附件2中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填写盘查结果：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drawing>
          <wp:inline distT="0" distB="0" distL="0" distR="0">
            <wp:extent cx="5551805" cy="200914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盘查结果内容如下：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(1)账物相符的：在结果栏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填写“</w:t>
      </w:r>
      <w:r>
        <w:rPr>
          <w:rFonts w:ascii="宋体" w:hAnsi="宋体" w:eastAsia="宋体" w:cs="仿宋_GB2312"/>
          <w:kern w:val="0"/>
          <w:sz w:val="28"/>
          <w:szCs w:val="28"/>
        </w:rPr>
        <w:t>正常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”</w:t>
      </w:r>
      <w:r>
        <w:rPr>
          <w:rFonts w:ascii="宋体" w:hAnsi="宋体" w:eastAsia="宋体" w:cs="仿宋_GB2312"/>
          <w:kern w:val="0"/>
          <w:sz w:val="28"/>
          <w:szCs w:val="28"/>
        </w:rPr>
        <w:t>；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(2)有账无物的 (盘亏)：</w:t>
      </w:r>
      <w:bookmarkStart w:id="0" w:name="_Hlk116805761"/>
      <w:r>
        <w:rPr>
          <w:rFonts w:ascii="宋体" w:hAnsi="宋体" w:eastAsia="宋体" w:cs="仿宋_GB2312"/>
          <w:kern w:val="0"/>
          <w:sz w:val="28"/>
          <w:szCs w:val="28"/>
        </w:rPr>
        <w:t>在结果栏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填写</w:t>
      </w:r>
      <w:r>
        <w:rPr>
          <w:rFonts w:ascii="宋体" w:hAnsi="宋体" w:eastAsia="宋体" w:cs="仿宋_GB2312"/>
          <w:kern w:val="0"/>
          <w:sz w:val="28"/>
          <w:szCs w:val="28"/>
        </w:rPr>
        <w:t>“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损失</w:t>
      </w:r>
      <w:r>
        <w:rPr>
          <w:rFonts w:ascii="宋体" w:hAnsi="宋体" w:eastAsia="宋体" w:cs="仿宋_GB2312"/>
          <w:kern w:val="0"/>
          <w:sz w:val="28"/>
          <w:szCs w:val="28"/>
        </w:rPr>
        <w:t>”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情况</w:t>
      </w:r>
      <w:r>
        <w:rPr>
          <w:rFonts w:ascii="宋体" w:hAnsi="宋体" w:eastAsia="宋体" w:cs="仿宋_GB2312"/>
          <w:kern w:val="0"/>
          <w:sz w:val="28"/>
          <w:szCs w:val="28"/>
        </w:rPr>
        <w:t>，</w:t>
      </w:r>
      <w:bookmarkEnd w:id="0"/>
      <w:r>
        <w:rPr>
          <w:rFonts w:ascii="宋体" w:hAnsi="宋体" w:eastAsia="宋体" w:cs="仿宋_GB2312"/>
          <w:kern w:val="0"/>
          <w:sz w:val="28"/>
          <w:szCs w:val="28"/>
        </w:rPr>
        <w:t>并填报 《设备(家具) 损失申报表》(附件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4</w:t>
      </w:r>
      <w:r>
        <w:rPr>
          <w:rFonts w:ascii="宋体" w:hAnsi="宋体" w:eastAsia="宋体" w:cs="仿宋_GB2312"/>
          <w:kern w:val="0"/>
          <w:sz w:val="28"/>
          <w:szCs w:val="28"/>
        </w:rPr>
        <w:t>) 、《盘亏设备 (家具) 情况说明》(附件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5</w:t>
      </w:r>
      <w:r>
        <w:rPr>
          <w:rFonts w:ascii="宋体" w:hAnsi="宋体" w:eastAsia="宋体" w:cs="仿宋_GB2312"/>
          <w:kern w:val="0"/>
          <w:sz w:val="28"/>
          <w:szCs w:val="28"/>
        </w:rPr>
        <w:t>) 、相关审批文件 (被盗需提供公安机关报案立案的相关材料) 等；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 xml:space="preserve">(3)有物无账(盘盈)的： 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在结果栏填写“增加”情况，并</w:t>
      </w:r>
      <w:r>
        <w:rPr>
          <w:rFonts w:ascii="宋体" w:hAnsi="宋体" w:eastAsia="宋体" w:cs="仿宋_GB2312"/>
          <w:kern w:val="0"/>
          <w:sz w:val="28"/>
          <w:szCs w:val="28"/>
        </w:rPr>
        <w:t>填报《设备(家具)盘盈申报表》(附件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6</w:t>
      </w:r>
      <w:r>
        <w:rPr>
          <w:rFonts w:ascii="宋体" w:hAnsi="宋体" w:eastAsia="宋体" w:cs="仿宋_GB2312"/>
          <w:kern w:val="0"/>
          <w:sz w:val="28"/>
          <w:szCs w:val="28"/>
        </w:rPr>
        <w:t>)、《设备(家具)盘盈登记表》(附件7)、《设备(家具) 盘盈情况说明》(附件8)、价值确定依据(市场价值证明等) 等；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(4)即将报废的：在结果栏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填写</w:t>
      </w:r>
      <w:r>
        <w:rPr>
          <w:rFonts w:ascii="宋体" w:hAnsi="宋体" w:eastAsia="宋体" w:cs="仿宋_GB2312"/>
          <w:kern w:val="0"/>
          <w:sz w:val="28"/>
          <w:szCs w:val="28"/>
        </w:rPr>
        <w:t>“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报废</w:t>
      </w:r>
      <w:r>
        <w:rPr>
          <w:rFonts w:ascii="宋体" w:hAnsi="宋体" w:eastAsia="宋体" w:cs="仿宋_GB2312"/>
          <w:kern w:val="0"/>
          <w:sz w:val="28"/>
          <w:szCs w:val="28"/>
        </w:rPr>
        <w:t>”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情况</w:t>
      </w:r>
      <w:r>
        <w:rPr>
          <w:rFonts w:ascii="宋体" w:hAnsi="宋体" w:eastAsia="宋体" w:cs="仿宋_GB2312"/>
          <w:kern w:val="0"/>
          <w:sz w:val="28"/>
          <w:szCs w:val="28"/>
        </w:rPr>
        <w:t xml:space="preserve"> ，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后续</w:t>
      </w:r>
      <w:r>
        <w:rPr>
          <w:rFonts w:ascii="宋体" w:hAnsi="宋体" w:eastAsia="宋体" w:cs="仿宋_GB2312"/>
          <w:kern w:val="0"/>
          <w:sz w:val="28"/>
          <w:szCs w:val="28"/>
        </w:rPr>
        <w:t>通过系统申请报废(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参考之前</w:t>
      </w:r>
      <w:r>
        <w:rPr>
          <w:rFonts w:ascii="宋体" w:hAnsi="宋体" w:eastAsia="宋体" w:cs="仿宋_GB2312"/>
          <w:kern w:val="0"/>
          <w:sz w:val="28"/>
          <w:szCs w:val="28"/>
        </w:rPr>
        <w:t>报废流程)；</w:t>
      </w:r>
    </w:p>
    <w:p>
      <w:pPr>
        <w:spacing w:before="180" w:line="366" w:lineRule="auto"/>
        <w:ind w:left="25" w:right="86" w:firstLine="650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(5) 校外存放的：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在结果栏填写“校外存放”情况，对于</w:t>
      </w:r>
      <w:r>
        <w:rPr>
          <w:rFonts w:ascii="宋体" w:hAnsi="宋体" w:eastAsia="宋体" w:cs="仿宋_GB2312"/>
          <w:kern w:val="0"/>
          <w:sz w:val="28"/>
          <w:szCs w:val="28"/>
        </w:rPr>
        <w:t>便于携带的须带回学校备查，确属客观原因 (现场试验设备、学校批准校外共建实验室用设备等)，须提供详细书面说明材料、填写《校外存放资产情况登记表》(附件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9</w:t>
      </w:r>
      <w:r>
        <w:rPr>
          <w:rFonts w:ascii="宋体" w:hAnsi="宋体" w:eastAsia="宋体" w:cs="仿宋_GB2312"/>
          <w:kern w:val="0"/>
          <w:sz w:val="28"/>
          <w:szCs w:val="28"/>
        </w:rPr>
        <w:t>) 并提交校外设备的相关照片(整体照、型号部位及铭牌照及条码标签照各 1 张，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条码照片要求清晰可辨认</w:t>
      </w:r>
      <w:r>
        <w:rPr>
          <w:rFonts w:ascii="宋体" w:hAnsi="宋体" w:eastAsia="宋体" w:cs="仿宋_GB2312"/>
          <w:kern w:val="0"/>
          <w:sz w:val="28"/>
          <w:szCs w:val="28"/>
        </w:rPr>
        <w:t>)；</w:t>
      </w:r>
    </w:p>
    <w:p>
      <w:pPr>
        <w:spacing w:before="180" w:line="366" w:lineRule="auto"/>
        <w:ind w:left="25" w:right="86" w:firstLine="650"/>
        <w:rPr>
          <w:rFonts w:hint="eastAsia" w:ascii="宋体" w:hAnsi="宋体" w:eastAsia="宋体" w:cs="仿宋_GB2312"/>
          <w:kern w:val="0"/>
          <w:sz w:val="28"/>
          <w:szCs w:val="28"/>
          <w:lang w:eastAsia="zh-CN"/>
        </w:rPr>
        <w:sectPr>
          <w:footerReference r:id="rId3" w:type="default"/>
          <w:pgSz w:w="11907" w:h="16839"/>
          <w:pgMar w:top="1318" w:right="1137" w:bottom="1076" w:left="1231" w:header="0" w:footer="913" w:gutter="0"/>
          <w:pgNumType w:fmt="decimal"/>
          <w:cols w:space="720" w:num="1"/>
        </w:sectPr>
      </w:pPr>
      <w:r>
        <w:rPr>
          <w:rFonts w:ascii="宋体" w:hAnsi="宋体" w:eastAsia="宋体" w:cs="仿宋_GB2312"/>
          <w:kern w:val="0"/>
          <w:sz w:val="28"/>
          <w:szCs w:val="28"/>
        </w:rPr>
        <w:t>(6)需变更领用单位或领用人的：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在结果栏填写“变更”情况，</w:t>
      </w:r>
      <w:r>
        <w:rPr>
          <w:rFonts w:ascii="宋体" w:hAnsi="宋体" w:eastAsia="宋体" w:cs="仿宋_GB2312"/>
          <w:kern w:val="0"/>
          <w:sz w:val="28"/>
          <w:szCs w:val="28"/>
        </w:rPr>
        <w:t>如遇院系调整、领用人岗位变动、设备家具交接等情况，需变更领用单位或领用人，则先由原领用单位进行调拨 (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参考之前</w:t>
      </w:r>
      <w:r>
        <w:rPr>
          <w:rFonts w:ascii="宋体" w:hAnsi="宋体" w:eastAsia="宋体" w:cs="仿宋_GB2312"/>
          <w:kern w:val="0"/>
          <w:sz w:val="28"/>
          <w:szCs w:val="28"/>
        </w:rPr>
        <w:t>调拨流程)，再由现领用单位进行盘查</w:t>
      </w:r>
      <w:r>
        <w:rPr>
          <w:rFonts w:hint="eastAsia" w:ascii="宋体" w:hAnsi="宋体" w:eastAsia="宋体" w:cs="仿宋_GB2312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hint="default" w:ascii="Times New Roman" w:hAnsi="Times New Roman" w:eastAsia="宋体" w:cs="Times New Roman"/>
        <w:b/>
        <w:bCs/>
        <w:color w:val="auto"/>
        <w:sz w:val="15"/>
        <w:szCs w:val="15"/>
        <w:lang w:val="en-US" w:eastAsia="zh-CN"/>
      </w:rPr>
    </w:pPr>
    <w:r>
      <w:rPr>
        <w:b/>
        <w:bCs/>
        <w:color w:val="auto"/>
        <w:sz w:val="15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628476D5"/>
    <w:rsid w:val="628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2022-10-18T08:03:00Z</dcterms:created>
  <dc:creator>Ruiui</dc:creator>
  <cp:lastModifiedBy>Ruiui</cp:lastModifiedBy>
  <dcterms:modified xsi:type="dcterms:W3CDTF">2022-10-18T08:04:33Z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977B98F375B04C738F5925831F359A34</vt:lpwstr>
  </property>
</Properties>
</file>